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2E33" w14:textId="77777777" w:rsidR="000B12AC" w:rsidRDefault="000B12AC" w:rsidP="000B12AC">
      <w:pPr>
        <w:pStyle w:val="Heading2"/>
        <w:jc w:val="center"/>
        <w:rPr>
          <w:rFonts w:eastAsia="Arial"/>
        </w:rPr>
      </w:pPr>
      <w:r>
        <w:rPr>
          <w:noProof/>
          <w:sz w:val="72"/>
          <w:lang w:val="en-CA" w:eastAsia="en-CA"/>
        </w:rPr>
        <w:drawing>
          <wp:anchor distT="0" distB="0" distL="114300" distR="114300" simplePos="0" relativeHeight="251659264" behindDoc="0" locked="0" layoutInCell="1" allowOverlap="1" wp14:anchorId="0E927032" wp14:editId="22E6F74C">
            <wp:simplePos x="0" y="0"/>
            <wp:positionH relativeFrom="margin">
              <wp:posOffset>-392430</wp:posOffset>
            </wp:positionH>
            <wp:positionV relativeFrom="paragraph">
              <wp:posOffset>-495300</wp:posOffset>
            </wp:positionV>
            <wp:extent cx="1456327" cy="561975"/>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327" cy="561975"/>
                    </a:xfrm>
                    <a:prstGeom prst="rect">
                      <a:avLst/>
                    </a:prstGeom>
                  </pic:spPr>
                </pic:pic>
              </a:graphicData>
            </a:graphic>
            <wp14:sizeRelH relativeFrom="margin">
              <wp14:pctWidth>0</wp14:pctWidth>
            </wp14:sizeRelH>
            <wp14:sizeRelV relativeFrom="margin">
              <wp14:pctHeight>0</wp14:pctHeight>
            </wp14:sizeRelV>
          </wp:anchor>
        </w:drawing>
      </w:r>
      <w:r>
        <w:rPr>
          <w:rFonts w:eastAsia="Arial"/>
        </w:rPr>
        <w:t>SECURITIES TRANSFER FORM</w:t>
      </w:r>
    </w:p>
    <w:p w14:paraId="78FF4226" w14:textId="77777777" w:rsidR="000B12AC" w:rsidRPr="00B3373A" w:rsidRDefault="000B12AC" w:rsidP="000B12AC">
      <w:pPr>
        <w:pStyle w:val="Heading4"/>
        <w:jc w:val="center"/>
      </w:pPr>
      <w:r w:rsidRPr="009975D3">
        <w:t>(IRREVOCABLE STOCK POWER OF ATTORNEY)</w:t>
      </w:r>
    </w:p>
    <w:p w14:paraId="7399B419" w14:textId="77777777" w:rsidR="000B12AC" w:rsidRPr="00B3373A" w:rsidRDefault="000B12AC" w:rsidP="000B12AC">
      <w:pPr>
        <w:jc w:val="center"/>
        <w:rPr>
          <w:sz w:val="12"/>
          <w:szCs w:val="12"/>
        </w:rPr>
      </w:pPr>
    </w:p>
    <w:p w14:paraId="6A9F0C81" w14:textId="77777777" w:rsidR="000B12AC" w:rsidRDefault="000B12AC" w:rsidP="000B12AC">
      <w:pPr>
        <w:jc w:val="center"/>
      </w:pPr>
      <w:r>
        <w:t>FOR VALUE RECEIVED, the undersigned hereby sell(s), assign(s) and transfer(s) unto:</w:t>
      </w:r>
    </w:p>
    <w:tbl>
      <w:tblPr>
        <w:tblStyle w:val="TableGrid0"/>
        <w:tblpPr w:leftFromText="180" w:rightFromText="180" w:vertAnchor="text" w:horzAnchor="margin" w:tblpXSpec="center" w:tblpY="183"/>
        <w:tblW w:w="0" w:type="auto"/>
        <w:tblLook w:val="04A0" w:firstRow="1" w:lastRow="0" w:firstColumn="1" w:lastColumn="0" w:noHBand="0" w:noVBand="1"/>
      </w:tblPr>
      <w:tblGrid>
        <w:gridCol w:w="535"/>
        <w:gridCol w:w="540"/>
        <w:gridCol w:w="540"/>
        <w:gridCol w:w="540"/>
        <w:gridCol w:w="540"/>
        <w:gridCol w:w="540"/>
        <w:gridCol w:w="540"/>
        <w:gridCol w:w="540"/>
        <w:gridCol w:w="540"/>
        <w:gridCol w:w="540"/>
        <w:gridCol w:w="540"/>
      </w:tblGrid>
      <w:tr w:rsidR="000B12AC" w14:paraId="05B1B52F" w14:textId="77777777" w:rsidTr="008F4D1D">
        <w:trPr>
          <w:trHeight w:val="440"/>
        </w:trPr>
        <w:tc>
          <w:tcPr>
            <w:tcW w:w="535" w:type="dxa"/>
          </w:tcPr>
          <w:p w14:paraId="72AFA094" w14:textId="77777777" w:rsidR="000B12AC" w:rsidRDefault="000B12AC" w:rsidP="008F4D1D"/>
        </w:tc>
        <w:tc>
          <w:tcPr>
            <w:tcW w:w="540" w:type="dxa"/>
          </w:tcPr>
          <w:p w14:paraId="56B0474C" w14:textId="77777777" w:rsidR="000B12AC" w:rsidRDefault="000B12AC" w:rsidP="008F4D1D"/>
        </w:tc>
        <w:tc>
          <w:tcPr>
            <w:tcW w:w="540" w:type="dxa"/>
          </w:tcPr>
          <w:p w14:paraId="43AC206D" w14:textId="77777777" w:rsidR="000B12AC" w:rsidRDefault="000B12AC" w:rsidP="008F4D1D"/>
        </w:tc>
        <w:tc>
          <w:tcPr>
            <w:tcW w:w="540" w:type="dxa"/>
            <w:tcBorders>
              <w:top w:val="nil"/>
              <w:bottom w:val="nil"/>
            </w:tcBorders>
          </w:tcPr>
          <w:p w14:paraId="3D64CC11" w14:textId="77777777" w:rsidR="000B12AC" w:rsidRDefault="000B12AC" w:rsidP="008F4D1D"/>
        </w:tc>
        <w:tc>
          <w:tcPr>
            <w:tcW w:w="540" w:type="dxa"/>
          </w:tcPr>
          <w:p w14:paraId="5EF5732D" w14:textId="77777777" w:rsidR="000B12AC" w:rsidRDefault="000B12AC" w:rsidP="008F4D1D"/>
        </w:tc>
        <w:tc>
          <w:tcPr>
            <w:tcW w:w="540" w:type="dxa"/>
          </w:tcPr>
          <w:p w14:paraId="09507EBC" w14:textId="77777777" w:rsidR="000B12AC" w:rsidRDefault="000B12AC" w:rsidP="008F4D1D"/>
        </w:tc>
        <w:tc>
          <w:tcPr>
            <w:tcW w:w="540" w:type="dxa"/>
          </w:tcPr>
          <w:p w14:paraId="701AAFA9" w14:textId="77777777" w:rsidR="000B12AC" w:rsidRDefault="000B12AC" w:rsidP="008F4D1D"/>
        </w:tc>
        <w:tc>
          <w:tcPr>
            <w:tcW w:w="540" w:type="dxa"/>
            <w:tcBorders>
              <w:top w:val="nil"/>
              <w:bottom w:val="nil"/>
            </w:tcBorders>
          </w:tcPr>
          <w:p w14:paraId="4AD1DD88" w14:textId="77777777" w:rsidR="000B12AC" w:rsidRDefault="000B12AC" w:rsidP="008F4D1D"/>
        </w:tc>
        <w:tc>
          <w:tcPr>
            <w:tcW w:w="540" w:type="dxa"/>
          </w:tcPr>
          <w:p w14:paraId="702C7D0D" w14:textId="77777777" w:rsidR="000B12AC" w:rsidRDefault="000B12AC" w:rsidP="008F4D1D"/>
        </w:tc>
        <w:tc>
          <w:tcPr>
            <w:tcW w:w="540" w:type="dxa"/>
          </w:tcPr>
          <w:p w14:paraId="75C642F9" w14:textId="77777777" w:rsidR="000B12AC" w:rsidRDefault="000B12AC" w:rsidP="008F4D1D"/>
        </w:tc>
        <w:tc>
          <w:tcPr>
            <w:tcW w:w="540" w:type="dxa"/>
          </w:tcPr>
          <w:p w14:paraId="52042FFC" w14:textId="77777777" w:rsidR="000B12AC" w:rsidRDefault="000B12AC" w:rsidP="008F4D1D"/>
        </w:tc>
      </w:tr>
    </w:tbl>
    <w:p w14:paraId="0D808F5D" w14:textId="77777777" w:rsidR="000B12AC" w:rsidRDefault="000B12AC" w:rsidP="000B12AC"/>
    <w:p w14:paraId="18089A9C" w14:textId="77777777" w:rsidR="000B12AC" w:rsidRDefault="000B12AC" w:rsidP="000B12AC">
      <w:r>
        <w:br/>
      </w:r>
    </w:p>
    <w:p w14:paraId="1D201283" w14:textId="77777777" w:rsidR="000B12AC" w:rsidRPr="001D7300" w:rsidRDefault="000B12AC" w:rsidP="000B12AC">
      <w:pPr>
        <w:pStyle w:val="NoSpacing"/>
        <w:jc w:val="center"/>
        <w:rPr>
          <w:sz w:val="14"/>
          <w:szCs w:val="14"/>
        </w:rPr>
      </w:pPr>
      <w:r w:rsidRPr="001D7300">
        <w:rPr>
          <w:sz w:val="14"/>
          <w:szCs w:val="14"/>
        </w:rPr>
        <w:t>(Insert Social Insurance Number or Taxpayer Identification Number of Transferee)</w:t>
      </w:r>
      <w:r w:rsidRPr="001D7300">
        <w:rPr>
          <w:sz w:val="14"/>
          <w:szCs w:val="14"/>
        </w:rPr>
        <w:br/>
      </w:r>
    </w:p>
    <w:p w14:paraId="7272FC23" w14:textId="77777777" w:rsidR="000B12AC" w:rsidRPr="00B3373A" w:rsidRDefault="000B12AC" w:rsidP="000B12AC">
      <w:pPr>
        <w:pStyle w:val="NoSpacing"/>
        <w:pBdr>
          <w:bottom w:val="single" w:sz="4" w:space="1" w:color="auto"/>
        </w:pBdr>
        <w:jc w:val="center"/>
        <w:rPr>
          <w:sz w:val="18"/>
          <w:szCs w:val="18"/>
        </w:rPr>
      </w:pPr>
      <w:r w:rsidRPr="00B3373A">
        <w:rPr>
          <w:sz w:val="18"/>
          <w:szCs w:val="18"/>
        </w:rPr>
        <w:t>Name of Transferee (new securityholder)</w:t>
      </w:r>
    </w:p>
    <w:p w14:paraId="403FAEAB" w14:textId="77777777" w:rsidR="000B12AC" w:rsidRPr="00B3373A" w:rsidRDefault="000B12AC" w:rsidP="000B12AC">
      <w:pPr>
        <w:pStyle w:val="NoSpacing"/>
        <w:ind w:left="10"/>
        <w:jc w:val="center"/>
        <w:rPr>
          <w:sz w:val="18"/>
          <w:szCs w:val="18"/>
        </w:rPr>
      </w:pPr>
    </w:p>
    <w:p w14:paraId="661CBBF2" w14:textId="77777777" w:rsidR="000B12AC" w:rsidRPr="00B3373A" w:rsidRDefault="000B12AC" w:rsidP="000B12AC">
      <w:pPr>
        <w:pStyle w:val="NoSpacing"/>
        <w:pBdr>
          <w:bottom w:val="single" w:sz="4" w:space="1" w:color="auto"/>
        </w:pBdr>
        <w:jc w:val="center"/>
        <w:rPr>
          <w:sz w:val="18"/>
          <w:szCs w:val="18"/>
        </w:rPr>
      </w:pPr>
      <w:r w:rsidRPr="00B3373A">
        <w:rPr>
          <w:sz w:val="18"/>
          <w:szCs w:val="18"/>
        </w:rPr>
        <w:t>Address</w:t>
      </w:r>
    </w:p>
    <w:p w14:paraId="77632D58" w14:textId="77777777" w:rsidR="000B12AC" w:rsidRPr="00B3373A" w:rsidRDefault="000B12AC" w:rsidP="000B12AC">
      <w:pPr>
        <w:pStyle w:val="NoSpacing"/>
        <w:jc w:val="both"/>
        <w:rPr>
          <w:sz w:val="18"/>
          <w:szCs w:val="18"/>
        </w:rPr>
      </w:pPr>
    </w:p>
    <w:p w14:paraId="32CF8188" w14:textId="77777777" w:rsidR="000B12AC" w:rsidRPr="00B3373A" w:rsidRDefault="000B12AC" w:rsidP="000B12AC">
      <w:pPr>
        <w:pStyle w:val="NoSpacing"/>
        <w:pBdr>
          <w:bottom w:val="single" w:sz="4" w:space="1" w:color="auto"/>
        </w:pBdr>
        <w:jc w:val="center"/>
        <w:rPr>
          <w:sz w:val="18"/>
          <w:szCs w:val="18"/>
        </w:rPr>
      </w:pPr>
      <w:r w:rsidRPr="00B3373A">
        <w:rPr>
          <w:sz w:val="18"/>
          <w:szCs w:val="18"/>
        </w:rPr>
        <w:t>City, Prov/State, Postal/Zip Code, Country</w:t>
      </w:r>
    </w:p>
    <w:p w14:paraId="5DA8FBEC" w14:textId="77777777" w:rsidR="000B12AC" w:rsidRPr="00B3373A" w:rsidRDefault="000B12AC" w:rsidP="000B12AC">
      <w:pPr>
        <w:pStyle w:val="NoSpacing"/>
        <w:rPr>
          <w:sz w:val="18"/>
          <w:szCs w:val="18"/>
        </w:rPr>
      </w:pPr>
      <w:r w:rsidRPr="00B3373A">
        <w:rPr>
          <w:sz w:val="18"/>
          <w:szCs w:val="18"/>
        </w:rPr>
        <w:t xml:space="preserve">                           </w:t>
      </w:r>
    </w:p>
    <w:p w14:paraId="36D56B72" w14:textId="77777777" w:rsidR="000B12AC" w:rsidRPr="00B3373A" w:rsidRDefault="000B12AC" w:rsidP="000B12AC">
      <w:pPr>
        <w:pStyle w:val="NoSpacing"/>
        <w:ind w:left="10"/>
        <w:rPr>
          <w:sz w:val="18"/>
          <w:szCs w:val="18"/>
        </w:rPr>
      </w:pPr>
      <w:r w:rsidRPr="00B3373A">
        <w:rPr>
          <w:sz w:val="18"/>
          <w:szCs w:val="18"/>
        </w:rPr>
        <w:t xml:space="preserve">_________ </w:t>
      </w:r>
      <w:r w:rsidRPr="00B3373A">
        <w:rPr>
          <w:rStyle w:val="SubtleEmphasis"/>
          <w:sz w:val="18"/>
          <w:szCs w:val="18"/>
        </w:rPr>
        <w:t>(common shares, debentures, notes, preferred shares, units, warrants</w:t>
      </w:r>
      <w:r w:rsidRPr="00B3373A">
        <w:rPr>
          <w:sz w:val="18"/>
          <w:szCs w:val="18"/>
        </w:rPr>
        <w:t xml:space="preserve">) , registered in the name (s) of: </w:t>
      </w:r>
    </w:p>
    <w:p w14:paraId="3487BEAB" w14:textId="77777777" w:rsidR="000B12AC" w:rsidRPr="00B3373A" w:rsidRDefault="000B12AC" w:rsidP="000B12AC">
      <w:pPr>
        <w:pStyle w:val="NoSpacing"/>
        <w:ind w:left="10"/>
        <w:rPr>
          <w:sz w:val="18"/>
          <w:szCs w:val="18"/>
        </w:rPr>
      </w:pPr>
    </w:p>
    <w:p w14:paraId="56AA802F" w14:textId="77777777" w:rsidR="000B12AC" w:rsidRPr="00B3373A" w:rsidRDefault="000B12AC" w:rsidP="000B12AC">
      <w:pPr>
        <w:pStyle w:val="NoSpacing"/>
        <w:pBdr>
          <w:bottom w:val="single" w:sz="4" w:space="1" w:color="auto"/>
        </w:pBdr>
        <w:jc w:val="center"/>
        <w:rPr>
          <w:sz w:val="18"/>
          <w:szCs w:val="18"/>
        </w:rPr>
      </w:pPr>
      <w:r w:rsidRPr="00B3373A">
        <w:rPr>
          <w:sz w:val="18"/>
          <w:szCs w:val="18"/>
        </w:rPr>
        <w:t>Name of Transferor (current securityholder)</w:t>
      </w:r>
    </w:p>
    <w:p w14:paraId="660471A6" w14:textId="77777777" w:rsidR="000B12AC" w:rsidRPr="00B3373A" w:rsidRDefault="000B12AC" w:rsidP="000B12AC">
      <w:pPr>
        <w:pStyle w:val="NoSpacing"/>
        <w:ind w:left="10"/>
        <w:rPr>
          <w:sz w:val="18"/>
          <w:szCs w:val="18"/>
        </w:rPr>
      </w:pPr>
    </w:p>
    <w:p w14:paraId="5388E0B2" w14:textId="77777777" w:rsidR="000B12AC" w:rsidRPr="00B3373A" w:rsidRDefault="000B12AC" w:rsidP="000B12AC">
      <w:pPr>
        <w:pStyle w:val="NoSpacing"/>
        <w:pBdr>
          <w:bottom w:val="single" w:sz="4" w:space="1" w:color="auto"/>
        </w:pBdr>
        <w:rPr>
          <w:sz w:val="18"/>
          <w:szCs w:val="18"/>
        </w:rPr>
      </w:pPr>
      <w:r w:rsidRPr="00B3373A">
        <w:rPr>
          <w:sz w:val="18"/>
          <w:szCs w:val="18"/>
        </w:rPr>
        <w:t>on the books of   (Name of Issuer)</w:t>
      </w:r>
    </w:p>
    <w:p w14:paraId="4520DC03" w14:textId="77777777" w:rsidR="000B12AC" w:rsidRPr="00B3373A" w:rsidRDefault="000B12AC" w:rsidP="000B12AC">
      <w:pPr>
        <w:pStyle w:val="NoSpacing"/>
        <w:rPr>
          <w:sz w:val="18"/>
          <w:szCs w:val="18"/>
        </w:rPr>
      </w:pPr>
    </w:p>
    <w:p w14:paraId="18A546A5" w14:textId="77777777" w:rsidR="000B12AC" w:rsidRPr="00B3373A" w:rsidRDefault="000B12AC" w:rsidP="000B12AC">
      <w:pPr>
        <w:pStyle w:val="NoSpacing"/>
        <w:ind w:left="10"/>
        <w:rPr>
          <w:sz w:val="18"/>
          <w:szCs w:val="18"/>
        </w:rPr>
      </w:pPr>
      <w:r w:rsidRPr="00B3373A">
        <w:rPr>
          <w:sz w:val="18"/>
          <w:szCs w:val="18"/>
        </w:rPr>
        <w:t xml:space="preserve">represented by   </w:t>
      </w:r>
      <w:r w:rsidRPr="00B3373A">
        <w:rPr>
          <w:sz w:val="18"/>
          <w:szCs w:val="18"/>
          <w:u w:val="single"/>
        </w:rPr>
        <w:t xml:space="preserve"> (certificate number(s) or DRS Position(s) </w:t>
      </w:r>
      <w:r w:rsidRPr="00B3373A">
        <w:rPr>
          <w:sz w:val="18"/>
          <w:szCs w:val="18"/>
        </w:rPr>
        <w:t>and hereby irrevocably</w:t>
      </w:r>
      <w:r w:rsidRPr="00B3373A">
        <w:rPr>
          <w:sz w:val="18"/>
          <w:szCs w:val="18"/>
          <w:u w:val="single"/>
        </w:rPr>
        <w:t xml:space="preserve"> </w:t>
      </w:r>
      <w:r w:rsidRPr="00B3373A">
        <w:rPr>
          <w:sz w:val="18"/>
          <w:szCs w:val="18"/>
          <w:u w:val="single"/>
        </w:rPr>
        <w:br/>
      </w:r>
    </w:p>
    <w:p w14:paraId="1793DC78" w14:textId="77777777" w:rsidR="000B12AC" w:rsidRPr="00B3373A" w:rsidRDefault="000B12AC" w:rsidP="000B12AC">
      <w:pPr>
        <w:jc w:val="both"/>
        <w:rPr>
          <w:sz w:val="18"/>
          <w:szCs w:val="18"/>
        </w:rPr>
      </w:pPr>
      <w:r w:rsidRPr="00B3373A">
        <w:rPr>
          <w:sz w:val="18"/>
          <w:szCs w:val="18"/>
        </w:rPr>
        <w:t>constitutes and appoints Marrelli Trust company Limited as the attorney of the undersigned to transfer the said securities with full power of substitution in this matter.</w:t>
      </w:r>
    </w:p>
    <w:p w14:paraId="1E7DA7BC" w14:textId="77777777" w:rsidR="000B12AC" w:rsidRPr="00B3373A" w:rsidRDefault="000B12AC" w:rsidP="000B12AC">
      <w:pPr>
        <w:rPr>
          <w:sz w:val="18"/>
          <w:szCs w:val="18"/>
        </w:rPr>
      </w:pPr>
      <w:r w:rsidRPr="00B3373A">
        <w:rPr>
          <w:sz w:val="18"/>
          <w:szCs w:val="18"/>
        </w:rPr>
        <w:t>Dated:  ________________________________</w:t>
      </w:r>
    </w:p>
    <w:tbl>
      <w:tblPr>
        <w:tblStyle w:val="TableGrid"/>
        <w:tblpPr w:leftFromText="180" w:rightFromText="180" w:vertAnchor="text" w:horzAnchor="margin" w:tblpY="88"/>
        <w:tblW w:w="9355" w:type="dxa"/>
        <w:tblInd w:w="0" w:type="dxa"/>
        <w:tblCellMar>
          <w:top w:w="12" w:type="dxa"/>
          <w:left w:w="108" w:type="dxa"/>
          <w:right w:w="115" w:type="dxa"/>
        </w:tblCellMar>
        <w:tblLook w:val="04A0" w:firstRow="1" w:lastRow="0" w:firstColumn="1" w:lastColumn="0" w:noHBand="0" w:noVBand="1"/>
      </w:tblPr>
      <w:tblGrid>
        <w:gridCol w:w="4893"/>
        <w:gridCol w:w="4462"/>
      </w:tblGrid>
      <w:tr w:rsidR="000B12AC" w14:paraId="64FE4538" w14:textId="77777777" w:rsidTr="008F4D1D">
        <w:trPr>
          <w:trHeight w:val="608"/>
        </w:trPr>
        <w:tc>
          <w:tcPr>
            <w:tcW w:w="4893" w:type="dxa"/>
            <w:vMerge w:val="restart"/>
            <w:tcBorders>
              <w:top w:val="single" w:sz="4" w:space="0" w:color="44546A"/>
              <w:left w:val="single" w:sz="4" w:space="0" w:color="44546A"/>
              <w:bottom w:val="single" w:sz="4" w:space="0" w:color="44546A"/>
              <w:right w:val="single" w:sz="4" w:space="0" w:color="44546A"/>
            </w:tcBorders>
          </w:tcPr>
          <w:p w14:paraId="55989D5B" w14:textId="77777777" w:rsidR="000B12AC" w:rsidRDefault="000B12AC" w:rsidP="008F4D1D">
            <w:r>
              <w:rPr>
                <w:rFonts w:eastAsia="Arial"/>
              </w:rPr>
              <w:t xml:space="preserve">Signature Guaranteed by: </w:t>
            </w:r>
          </w:p>
        </w:tc>
        <w:tc>
          <w:tcPr>
            <w:tcW w:w="4462" w:type="dxa"/>
            <w:tcBorders>
              <w:top w:val="single" w:sz="4" w:space="0" w:color="44546A"/>
              <w:left w:val="single" w:sz="4" w:space="0" w:color="44546A"/>
              <w:bottom w:val="single" w:sz="4" w:space="0" w:color="44546A"/>
              <w:right w:val="single" w:sz="4" w:space="0" w:color="44546A"/>
            </w:tcBorders>
          </w:tcPr>
          <w:p w14:paraId="5AD97F87" w14:textId="77777777" w:rsidR="000B12AC" w:rsidRDefault="000B12AC" w:rsidP="008F4D1D">
            <w:r>
              <w:rPr>
                <w:rFonts w:eastAsia="Arial"/>
              </w:rPr>
              <w:t xml:space="preserve">Signature(s) of securityholder: </w:t>
            </w:r>
          </w:p>
        </w:tc>
      </w:tr>
      <w:tr w:rsidR="000B12AC" w14:paraId="5D22A71B" w14:textId="77777777" w:rsidTr="008F4D1D">
        <w:trPr>
          <w:trHeight w:val="520"/>
        </w:trPr>
        <w:tc>
          <w:tcPr>
            <w:tcW w:w="4893" w:type="dxa"/>
            <w:vMerge/>
            <w:tcBorders>
              <w:top w:val="nil"/>
              <w:left w:val="single" w:sz="4" w:space="0" w:color="44546A"/>
              <w:bottom w:val="nil"/>
              <w:right w:val="single" w:sz="4" w:space="0" w:color="44546A"/>
            </w:tcBorders>
          </w:tcPr>
          <w:p w14:paraId="09B253C2" w14:textId="77777777" w:rsidR="000B12AC" w:rsidRDefault="000B12AC" w:rsidP="008F4D1D"/>
        </w:tc>
        <w:tc>
          <w:tcPr>
            <w:tcW w:w="4462" w:type="dxa"/>
            <w:tcBorders>
              <w:top w:val="single" w:sz="4" w:space="0" w:color="44546A"/>
              <w:left w:val="single" w:sz="4" w:space="0" w:color="44546A"/>
              <w:bottom w:val="single" w:sz="4" w:space="0" w:color="44546A"/>
              <w:right w:val="single" w:sz="4" w:space="0" w:color="44546A"/>
            </w:tcBorders>
          </w:tcPr>
          <w:p w14:paraId="1943E7DC" w14:textId="77777777" w:rsidR="000B12AC" w:rsidRDefault="000B12AC" w:rsidP="008F4D1D"/>
        </w:tc>
      </w:tr>
      <w:tr w:rsidR="000B12AC" w14:paraId="4AE5B8CF" w14:textId="77777777" w:rsidTr="008F4D1D">
        <w:trPr>
          <w:trHeight w:val="511"/>
        </w:trPr>
        <w:tc>
          <w:tcPr>
            <w:tcW w:w="4893" w:type="dxa"/>
            <w:vMerge/>
            <w:tcBorders>
              <w:top w:val="nil"/>
              <w:left w:val="single" w:sz="4" w:space="0" w:color="44546A"/>
              <w:bottom w:val="single" w:sz="4" w:space="0" w:color="44546A"/>
              <w:right w:val="single" w:sz="4" w:space="0" w:color="44546A"/>
            </w:tcBorders>
          </w:tcPr>
          <w:p w14:paraId="15719BE4" w14:textId="77777777" w:rsidR="000B12AC" w:rsidRDefault="000B12AC" w:rsidP="008F4D1D"/>
        </w:tc>
        <w:tc>
          <w:tcPr>
            <w:tcW w:w="4462" w:type="dxa"/>
            <w:tcBorders>
              <w:top w:val="single" w:sz="4" w:space="0" w:color="44546A"/>
              <w:left w:val="single" w:sz="4" w:space="0" w:color="44546A"/>
              <w:bottom w:val="single" w:sz="4" w:space="0" w:color="44546A"/>
              <w:right w:val="single" w:sz="4" w:space="0" w:color="44546A"/>
            </w:tcBorders>
          </w:tcPr>
          <w:p w14:paraId="42762E94" w14:textId="77777777" w:rsidR="000B12AC" w:rsidRDefault="000B12AC" w:rsidP="008F4D1D"/>
        </w:tc>
      </w:tr>
    </w:tbl>
    <w:p w14:paraId="69EFBD41" w14:textId="77777777" w:rsidR="000B12AC" w:rsidRPr="001D7300" w:rsidRDefault="000B12AC" w:rsidP="000B12AC">
      <w:pPr>
        <w:jc w:val="both"/>
        <w:rPr>
          <w:sz w:val="14"/>
          <w:szCs w:val="14"/>
        </w:rPr>
      </w:pPr>
      <w:r w:rsidRPr="001D7300">
        <w:rPr>
          <w:sz w:val="14"/>
          <w:szCs w:val="14"/>
        </w:rPr>
        <w:t xml:space="preserve">The signature of this assignment must correspond with the name as written upon the face of the attached securities certificate or DRS statement/advice in every particular without alteration or enlargement, or any change whatsoever, and must be signature guaranteed by a member of a recognized Medallion Signature Guarantee Program (STAMP, SEMP or MSP) or a Canadian Schedule I bank (BNS, TD or RBC only). Where the signature guarantee is from a Schedule I bank, if the securities are registered in the name of a corporation, limited company or sole proprietorship, a current resolution of the directors must be provided confirming the authorized signing officer(s); other legal entities must provide proof of authority to sign. </w:t>
      </w:r>
    </w:p>
    <w:p w14:paraId="2D3C6192" w14:textId="06A4E209" w:rsidR="000B12AC" w:rsidRPr="0081414C" w:rsidRDefault="000B12AC" w:rsidP="000B12AC">
      <w:pPr>
        <w:jc w:val="both"/>
        <w:rPr>
          <w:rFonts w:ascii="Calibri" w:eastAsia="Calibri" w:hAnsi="Calibri" w:cs="Calibri"/>
          <w:noProof/>
          <w:sz w:val="14"/>
          <w:szCs w:val="14"/>
        </w:rPr>
      </w:pPr>
      <w:r w:rsidRPr="001D7300">
        <w:rPr>
          <w:rFonts w:eastAsia="Arial"/>
          <w:b/>
          <w:sz w:val="14"/>
          <w:szCs w:val="14"/>
        </w:rPr>
        <w:t>PRIVACY NOTICE:</w:t>
      </w:r>
      <w:r w:rsidRPr="001D7300">
        <w:rPr>
          <w:sz w:val="14"/>
          <w:szCs w:val="14"/>
        </w:rPr>
        <w:t xml:space="preserve">  Marrelli Trust Company Limited takes your privacy seriously.  In providing services to you </w:t>
      </w:r>
      <w:r w:rsidRPr="001D7300">
        <w:rPr>
          <w:rFonts w:eastAsia="Arial"/>
          <w:sz w:val="14"/>
          <w:szCs w:val="14"/>
        </w:rPr>
        <w:t xml:space="preserve">and securities Issuers, </w:t>
      </w:r>
      <w:r w:rsidRPr="001D7300">
        <w:rPr>
          <w:sz w:val="14"/>
          <w:szCs w:val="14"/>
        </w:rPr>
        <w:t xml:space="preserve">we receive non-public, personal information about you.  We receive this information through transactions we perform for you and through other communications with you.  We may also receive information about you by virtue of your transactions with affiliates of Marrelli Trust Company Limited, or other parties.  This information may include your name, </w:t>
      </w:r>
      <w:r w:rsidRPr="001D7300">
        <w:rPr>
          <w:rFonts w:eastAsia="Arial"/>
          <w:sz w:val="14"/>
          <w:szCs w:val="14"/>
        </w:rPr>
        <w:t xml:space="preserve">address, </w:t>
      </w:r>
      <w:r w:rsidRPr="001D7300">
        <w:rPr>
          <w:sz w:val="14"/>
          <w:szCs w:val="14"/>
        </w:rPr>
        <w:t xml:space="preserve">social insurance number, </w:t>
      </w:r>
      <w:r w:rsidRPr="001D7300">
        <w:rPr>
          <w:rFonts w:eastAsia="Arial"/>
          <w:sz w:val="14"/>
          <w:szCs w:val="14"/>
        </w:rPr>
        <w:t xml:space="preserve">securities </w:t>
      </w:r>
      <w:r w:rsidRPr="001D7300">
        <w:rPr>
          <w:sz w:val="14"/>
          <w:szCs w:val="14"/>
        </w:rPr>
        <w:t>ownership information and other financial information. With respect to both to current and former securityholders, Marrelli Trust Company Limited, does not share non-public personal information with any non-affiliated third party except as necessary to process a transaction, service your account or as permitted by law.  Our affiliates and outside service providers with whom we share information are legally bound not to disclose the information in any manner, unless permitted by law or other governmental process.  We strive to restrict access to your personal information to those employees who need to know the information to provide our services to you, and we maintain physical, electronic and procedural safeguards to protect your personal</w:t>
      </w:r>
      <w:r>
        <w:rPr>
          <w:sz w:val="14"/>
          <w:szCs w:val="14"/>
        </w:rPr>
        <w:t xml:space="preserve"> </w:t>
      </w:r>
      <w:r w:rsidRPr="001D7300">
        <w:rPr>
          <w:sz w:val="14"/>
          <w:szCs w:val="14"/>
        </w:rPr>
        <w:t xml:space="preserve">information. Marrelli Trust Company Limited, realizes that you entrust us with confidential personal and financial information and we take that trust very seriously.  A complete copy of our Privacy Code may be accessed at </w:t>
      </w:r>
      <w:r w:rsidR="00A20F96" w:rsidRPr="00A20F96">
        <w:rPr>
          <w:sz w:val="14"/>
          <w:szCs w:val="14"/>
        </w:rPr>
        <w:t>marrellitrust.ca</w:t>
      </w:r>
      <w:r w:rsidR="00A20F96">
        <w:rPr>
          <w:color w:val="0563C1"/>
          <w:sz w:val="14"/>
          <w:szCs w:val="14"/>
          <w:u w:val="single" w:color="0563C1"/>
        </w:rPr>
        <w:t xml:space="preserve"> </w:t>
      </w:r>
      <w:r w:rsidRPr="001D7300">
        <w:rPr>
          <w:sz w:val="14"/>
          <w:szCs w:val="14"/>
        </w:rPr>
        <w:t xml:space="preserve">or you may request a copy in writing to </w:t>
      </w:r>
      <w:r w:rsidR="0081414C" w:rsidRPr="0081414C">
        <w:rPr>
          <w:rFonts w:ascii="Calibri" w:hAnsi="Calibri" w:cs="Calibri"/>
          <w:color w:val="212529"/>
          <w:sz w:val="14"/>
          <w:szCs w:val="14"/>
          <w:bdr w:val="none" w:sz="0" w:space="0" w:color="auto" w:frame="1"/>
          <w:shd w:val="clear" w:color="auto" w:fill="FFFFFF"/>
        </w:rPr>
        <w:t>620 -1111 Melville Street</w:t>
      </w:r>
      <w:r w:rsidR="0081414C" w:rsidRPr="0081414C">
        <w:rPr>
          <w:rFonts w:ascii="Calibri" w:hAnsi="Calibri" w:cs="Calibri"/>
          <w:color w:val="212529"/>
          <w:sz w:val="14"/>
          <w:szCs w:val="14"/>
        </w:rPr>
        <w:br/>
      </w:r>
      <w:r w:rsidR="0081414C" w:rsidRPr="0081414C">
        <w:rPr>
          <w:rFonts w:ascii="Calibri" w:hAnsi="Calibri" w:cs="Calibri"/>
          <w:color w:val="212529"/>
          <w:sz w:val="14"/>
          <w:szCs w:val="14"/>
          <w:bdr w:val="none" w:sz="0" w:space="0" w:color="auto" w:frame="1"/>
          <w:shd w:val="clear" w:color="auto" w:fill="FFFFFF"/>
        </w:rPr>
        <w:t>Vancouver,</w:t>
      </w:r>
      <w:r w:rsidR="0081414C">
        <w:rPr>
          <w:rFonts w:ascii="Calibri" w:hAnsi="Calibri" w:cs="Calibri"/>
          <w:color w:val="212529"/>
          <w:sz w:val="14"/>
          <w:szCs w:val="14"/>
          <w:bdr w:val="none" w:sz="0" w:space="0" w:color="auto" w:frame="1"/>
          <w:shd w:val="clear" w:color="auto" w:fill="FFFFFF"/>
        </w:rPr>
        <w:t xml:space="preserve"> </w:t>
      </w:r>
      <w:r w:rsidR="0081414C" w:rsidRPr="0081414C">
        <w:rPr>
          <w:rFonts w:ascii="Calibri" w:hAnsi="Calibri" w:cs="Calibri"/>
          <w:color w:val="212529"/>
          <w:sz w:val="14"/>
          <w:szCs w:val="14"/>
          <w:bdr w:val="none" w:sz="0" w:space="0" w:color="auto" w:frame="1"/>
          <w:shd w:val="clear" w:color="auto" w:fill="FFFFFF"/>
        </w:rPr>
        <w:t>British</w:t>
      </w:r>
      <w:r w:rsidR="0081414C">
        <w:rPr>
          <w:rFonts w:ascii="Calibri" w:hAnsi="Calibri" w:cs="Calibri"/>
          <w:color w:val="212529"/>
          <w:sz w:val="14"/>
          <w:szCs w:val="14"/>
          <w:bdr w:val="none" w:sz="0" w:space="0" w:color="auto" w:frame="1"/>
          <w:shd w:val="clear" w:color="auto" w:fill="FFFFFF"/>
        </w:rPr>
        <w:t xml:space="preserve"> </w:t>
      </w:r>
      <w:r w:rsidR="0081414C" w:rsidRPr="0081414C">
        <w:rPr>
          <w:rFonts w:ascii="Calibri" w:hAnsi="Calibri" w:cs="Calibri"/>
          <w:color w:val="212529"/>
          <w:sz w:val="14"/>
          <w:szCs w:val="14"/>
          <w:bdr w:val="none" w:sz="0" w:space="0" w:color="auto" w:frame="1"/>
          <w:shd w:val="clear" w:color="auto" w:fill="FFFFFF"/>
        </w:rPr>
        <w:t>Columbia</w:t>
      </w:r>
      <w:r w:rsidR="0081414C">
        <w:rPr>
          <w:rFonts w:ascii="Calibri" w:hAnsi="Calibri" w:cs="Calibri"/>
          <w:color w:val="212529"/>
          <w:sz w:val="14"/>
          <w:szCs w:val="14"/>
        </w:rPr>
        <w:t xml:space="preserve"> </w:t>
      </w:r>
      <w:r w:rsidR="0081414C" w:rsidRPr="0081414C">
        <w:rPr>
          <w:rFonts w:ascii="Calibri" w:hAnsi="Calibri" w:cs="Calibri"/>
          <w:color w:val="212529"/>
          <w:sz w:val="14"/>
          <w:szCs w:val="14"/>
          <w:bdr w:val="none" w:sz="0" w:space="0" w:color="auto" w:frame="1"/>
          <w:shd w:val="clear" w:color="auto" w:fill="FFFFFF"/>
        </w:rPr>
        <w:t>V6E 3V6</w:t>
      </w:r>
      <w:r w:rsidR="0081414C">
        <w:rPr>
          <w:rFonts w:ascii="Calibri" w:hAnsi="Calibri" w:cs="Calibri"/>
          <w:color w:val="212529"/>
          <w:sz w:val="14"/>
          <w:szCs w:val="14"/>
          <w:bdr w:val="none" w:sz="0" w:space="0" w:color="auto" w:frame="1"/>
          <w:shd w:val="clear" w:color="auto" w:fill="FFFFFF"/>
        </w:rPr>
        <w:t>.</w:t>
      </w:r>
    </w:p>
    <w:p w14:paraId="0077FAA8" w14:textId="77777777" w:rsidR="000B12AC" w:rsidRDefault="000B12AC" w:rsidP="000B12AC">
      <w:pPr>
        <w:ind w:left="-5"/>
      </w:pPr>
    </w:p>
    <w:p w14:paraId="15D79FA1" w14:textId="77777777" w:rsidR="000B12AC" w:rsidRDefault="000B12AC" w:rsidP="000B12AC">
      <w:pPr>
        <w:pStyle w:val="Heading3"/>
        <w:jc w:val="center"/>
      </w:pPr>
      <w:r>
        <w:rPr>
          <w:noProof/>
          <w:sz w:val="72"/>
          <w:lang w:val="en-CA" w:eastAsia="en-CA"/>
        </w:rPr>
        <w:lastRenderedPageBreak/>
        <w:drawing>
          <wp:anchor distT="0" distB="0" distL="114300" distR="114300" simplePos="0" relativeHeight="251660288" behindDoc="0" locked="0" layoutInCell="1" allowOverlap="1" wp14:anchorId="11A9DCE1" wp14:editId="3C8B550B">
            <wp:simplePos x="0" y="0"/>
            <wp:positionH relativeFrom="margin">
              <wp:posOffset>-155643</wp:posOffset>
            </wp:positionH>
            <wp:positionV relativeFrom="paragraph">
              <wp:posOffset>-136120</wp:posOffset>
            </wp:positionV>
            <wp:extent cx="1456327" cy="56197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327" cy="561975"/>
                    </a:xfrm>
                    <a:prstGeom prst="rect">
                      <a:avLst/>
                    </a:prstGeom>
                  </pic:spPr>
                </pic:pic>
              </a:graphicData>
            </a:graphic>
            <wp14:sizeRelH relativeFrom="margin">
              <wp14:pctWidth>0</wp14:pctWidth>
            </wp14:sizeRelH>
            <wp14:sizeRelV relativeFrom="margin">
              <wp14:pctHeight>0</wp14:pctHeight>
            </wp14:sizeRelV>
          </wp:anchor>
        </w:drawing>
      </w:r>
      <w:r>
        <w:rPr>
          <w:rFonts w:eastAsia="Arial"/>
        </w:rPr>
        <w:t>Transfers to US Residents or US Taxpayers</w:t>
      </w:r>
      <w:r>
        <w:t xml:space="preserve"> </w:t>
      </w:r>
      <w:r>
        <w:br/>
      </w:r>
      <w:r>
        <w:rPr>
          <w:rFonts w:eastAsia="Arial"/>
        </w:rPr>
        <w:t>Cost Basis Information Required</w:t>
      </w:r>
    </w:p>
    <w:p w14:paraId="0C13977E" w14:textId="77777777" w:rsidR="000B12AC" w:rsidRDefault="000B12AC" w:rsidP="000B12AC">
      <w:pPr>
        <w:spacing w:after="159" w:line="260" w:lineRule="auto"/>
        <w:ind w:left="10"/>
        <w:rPr>
          <w:sz w:val="22"/>
        </w:rPr>
      </w:pPr>
    </w:p>
    <w:p w14:paraId="66A77DFF" w14:textId="77777777" w:rsidR="000B12AC" w:rsidRDefault="000B12AC" w:rsidP="000B12AC">
      <w:pPr>
        <w:spacing w:after="159" w:line="260" w:lineRule="auto"/>
        <w:ind w:left="10"/>
        <w:rPr>
          <w:sz w:val="22"/>
        </w:rPr>
      </w:pPr>
    </w:p>
    <w:p w14:paraId="42999131" w14:textId="77777777" w:rsidR="000B12AC" w:rsidRPr="00B3373A" w:rsidRDefault="000B12AC" w:rsidP="000B12AC">
      <w:pPr>
        <w:ind w:left="10" w:hanging="10"/>
        <w:rPr>
          <w:sz w:val="18"/>
          <w:szCs w:val="18"/>
        </w:rPr>
      </w:pPr>
      <w:r w:rsidRPr="00B3373A">
        <w:rPr>
          <w:sz w:val="18"/>
          <w:szCs w:val="18"/>
        </w:rPr>
        <w:t xml:space="preserve">If a securities transfer request involves a transfer to one or more US residents or US taxpayers, we require additional information about the transfer.  Where no information is provided, we are required to treat the transfer as a gift and will reflect this information on the securities issued as at the date, we receive the transfer request. </w:t>
      </w:r>
    </w:p>
    <w:p w14:paraId="1863D607" w14:textId="77777777" w:rsidR="000B12AC" w:rsidRPr="00B3373A" w:rsidRDefault="000B12AC" w:rsidP="000B12AC">
      <w:pPr>
        <w:rPr>
          <w:sz w:val="18"/>
          <w:szCs w:val="18"/>
        </w:rPr>
      </w:pPr>
      <w:r w:rsidRPr="00B3373A">
        <w:rPr>
          <w:rFonts w:eastAsia="Arial"/>
          <w:sz w:val="18"/>
          <w:szCs w:val="18"/>
        </w:rPr>
        <w:t xml:space="preserve">Please indicate the reason for the transfer below and provide the cost basis information that we are required to maintain in accordance with IRS Regulations.  The completed form must be submitted with the transfer request: </w:t>
      </w:r>
    </w:p>
    <w:p w14:paraId="49167A1F" w14:textId="77777777" w:rsidR="000B12AC" w:rsidRPr="00B3373A" w:rsidRDefault="000B12AC" w:rsidP="000B12AC">
      <w:pPr>
        <w:spacing w:after="3" w:line="260" w:lineRule="auto"/>
        <w:ind w:left="607"/>
        <w:rPr>
          <w:b/>
          <w:sz w:val="18"/>
          <w:szCs w:val="18"/>
        </w:rPr>
      </w:pPr>
    </w:p>
    <w:p w14:paraId="7E57DE36" w14:textId="77777777" w:rsidR="000B12AC" w:rsidRPr="00B3373A" w:rsidRDefault="000B12AC" w:rsidP="000B12AC">
      <w:pPr>
        <w:spacing w:after="3" w:line="260" w:lineRule="auto"/>
        <w:ind w:left="607"/>
        <w:rPr>
          <w:b/>
          <w:sz w:val="18"/>
          <w:szCs w:val="18"/>
        </w:rPr>
      </w:pPr>
    </w:p>
    <w:p w14:paraId="0BF4AD7D" w14:textId="77777777" w:rsidR="000B12AC" w:rsidRPr="00B3373A" w:rsidRDefault="000B12AC" w:rsidP="000B12AC">
      <w:pPr>
        <w:rPr>
          <w:sz w:val="18"/>
          <w:szCs w:val="18"/>
        </w:rPr>
      </w:pPr>
      <w:r w:rsidRPr="00B3373A">
        <w:rPr>
          <w:rFonts w:eastAsia="Arial"/>
          <w:b/>
          <w:sz w:val="18"/>
          <w:szCs w:val="18"/>
        </w:rPr>
        <w:t xml:space="preserve">  </w:t>
      </w:r>
      <w:r w:rsidRPr="00B3373A">
        <w:rPr>
          <w:sz w:val="18"/>
          <w:szCs w:val="18"/>
        </w:rPr>
        <w:t xml:space="preserve">This transfer is a </w:t>
      </w:r>
      <w:r w:rsidRPr="00B3373A">
        <w:rPr>
          <w:rStyle w:val="IntenseEmphasis"/>
          <w:sz w:val="18"/>
          <w:szCs w:val="18"/>
        </w:rPr>
        <w:t>Gift.</w:t>
      </w:r>
      <w:r w:rsidRPr="00B3373A">
        <w:rPr>
          <w:sz w:val="18"/>
          <w:szCs w:val="18"/>
        </w:rPr>
        <w:t xml:space="preserve"> </w:t>
      </w:r>
    </w:p>
    <w:tbl>
      <w:tblPr>
        <w:tblStyle w:val="TableGrid"/>
        <w:tblW w:w="4947" w:type="dxa"/>
        <w:tblInd w:w="63" w:type="dxa"/>
        <w:tblCellMar>
          <w:top w:w="100" w:type="dxa"/>
          <w:left w:w="108" w:type="dxa"/>
          <w:right w:w="115" w:type="dxa"/>
        </w:tblCellMar>
        <w:tblLook w:val="04A0" w:firstRow="1" w:lastRow="0" w:firstColumn="1" w:lastColumn="0" w:noHBand="0" w:noVBand="1"/>
      </w:tblPr>
      <w:tblGrid>
        <w:gridCol w:w="2491"/>
        <w:gridCol w:w="2456"/>
      </w:tblGrid>
      <w:tr w:rsidR="000B12AC" w:rsidRPr="00B3373A" w14:paraId="31A11E64" w14:textId="77777777" w:rsidTr="008F4D1D">
        <w:trPr>
          <w:trHeight w:val="442"/>
        </w:trPr>
        <w:tc>
          <w:tcPr>
            <w:tcW w:w="2491" w:type="dxa"/>
            <w:tcBorders>
              <w:top w:val="single" w:sz="4" w:space="0" w:color="000000"/>
              <w:left w:val="single" w:sz="4" w:space="0" w:color="000000"/>
              <w:bottom w:val="single" w:sz="4" w:space="0" w:color="000000"/>
              <w:right w:val="single" w:sz="4" w:space="0" w:color="000000"/>
            </w:tcBorders>
          </w:tcPr>
          <w:p w14:paraId="44B04F3B" w14:textId="77777777" w:rsidR="000B12AC" w:rsidRPr="00B3373A" w:rsidRDefault="000B12AC" w:rsidP="008F4D1D">
            <w:pPr>
              <w:jc w:val="right"/>
              <w:rPr>
                <w:sz w:val="18"/>
                <w:szCs w:val="18"/>
              </w:rPr>
            </w:pPr>
            <w:r w:rsidRPr="00B3373A">
              <w:rPr>
                <w:rFonts w:eastAsia="Arial"/>
                <w:sz w:val="18"/>
                <w:szCs w:val="18"/>
              </w:rPr>
              <w:t xml:space="preserve">Date of Gift </w:t>
            </w:r>
          </w:p>
        </w:tc>
        <w:tc>
          <w:tcPr>
            <w:tcW w:w="2456" w:type="dxa"/>
            <w:tcBorders>
              <w:top w:val="single" w:sz="4" w:space="0" w:color="000000"/>
              <w:left w:val="single" w:sz="4" w:space="0" w:color="000000"/>
              <w:bottom w:val="single" w:sz="4" w:space="0" w:color="000000"/>
              <w:right w:val="single" w:sz="4" w:space="0" w:color="000000"/>
            </w:tcBorders>
          </w:tcPr>
          <w:p w14:paraId="3ADC5477" w14:textId="77777777" w:rsidR="000B12AC" w:rsidRPr="00B3373A" w:rsidRDefault="000B12AC" w:rsidP="008F4D1D">
            <w:pPr>
              <w:rPr>
                <w:sz w:val="18"/>
                <w:szCs w:val="18"/>
              </w:rPr>
            </w:pPr>
          </w:p>
        </w:tc>
      </w:tr>
      <w:tr w:rsidR="000B12AC" w:rsidRPr="00B3373A" w14:paraId="1FC8D2FE" w14:textId="77777777" w:rsidTr="008F4D1D">
        <w:trPr>
          <w:trHeight w:val="442"/>
        </w:trPr>
        <w:tc>
          <w:tcPr>
            <w:tcW w:w="2491" w:type="dxa"/>
            <w:tcBorders>
              <w:top w:val="single" w:sz="4" w:space="0" w:color="000000"/>
              <w:left w:val="single" w:sz="4" w:space="0" w:color="000000"/>
              <w:bottom w:val="single" w:sz="4" w:space="0" w:color="000000"/>
              <w:right w:val="single" w:sz="4" w:space="0" w:color="000000"/>
            </w:tcBorders>
          </w:tcPr>
          <w:p w14:paraId="0D17AEE9" w14:textId="77777777" w:rsidR="000B12AC" w:rsidRPr="00B3373A" w:rsidRDefault="000B12AC" w:rsidP="008F4D1D">
            <w:pPr>
              <w:jc w:val="right"/>
              <w:rPr>
                <w:sz w:val="18"/>
                <w:szCs w:val="18"/>
              </w:rPr>
            </w:pPr>
            <w:r w:rsidRPr="00B3373A">
              <w:rPr>
                <w:rFonts w:eastAsia="Arial"/>
                <w:sz w:val="18"/>
                <w:szCs w:val="18"/>
              </w:rPr>
              <w:t xml:space="preserve">Fair Market Value </w:t>
            </w:r>
          </w:p>
        </w:tc>
        <w:tc>
          <w:tcPr>
            <w:tcW w:w="2456" w:type="dxa"/>
            <w:tcBorders>
              <w:top w:val="single" w:sz="4" w:space="0" w:color="000000"/>
              <w:left w:val="single" w:sz="4" w:space="0" w:color="000000"/>
              <w:bottom w:val="single" w:sz="4" w:space="0" w:color="000000"/>
              <w:right w:val="single" w:sz="4" w:space="0" w:color="000000"/>
            </w:tcBorders>
          </w:tcPr>
          <w:p w14:paraId="609DC62F" w14:textId="77777777" w:rsidR="000B12AC" w:rsidRPr="00B3373A" w:rsidRDefault="000B12AC" w:rsidP="008F4D1D">
            <w:pPr>
              <w:rPr>
                <w:sz w:val="18"/>
                <w:szCs w:val="18"/>
              </w:rPr>
            </w:pPr>
          </w:p>
        </w:tc>
      </w:tr>
    </w:tbl>
    <w:p w14:paraId="76530C8C" w14:textId="77777777" w:rsidR="000B12AC" w:rsidRPr="00B3373A" w:rsidRDefault="000B12AC" w:rsidP="000B12AC">
      <w:pPr>
        <w:ind w:left="10"/>
        <w:rPr>
          <w:sz w:val="18"/>
          <w:szCs w:val="18"/>
        </w:rPr>
      </w:pPr>
      <w:r w:rsidRPr="00B3373A">
        <w:rPr>
          <w:sz w:val="18"/>
          <w:szCs w:val="18"/>
        </w:rPr>
        <w:t xml:space="preserve"> </w:t>
      </w:r>
    </w:p>
    <w:p w14:paraId="6B15527D" w14:textId="77777777" w:rsidR="000B12AC" w:rsidRPr="00B3373A" w:rsidRDefault="000B12AC" w:rsidP="000B12AC">
      <w:pPr>
        <w:ind w:left="10"/>
        <w:rPr>
          <w:sz w:val="18"/>
          <w:szCs w:val="18"/>
        </w:rPr>
      </w:pPr>
    </w:p>
    <w:p w14:paraId="2C0A7A86" w14:textId="77777777" w:rsidR="000B12AC" w:rsidRPr="00B3373A" w:rsidRDefault="000B12AC" w:rsidP="000B12AC">
      <w:pPr>
        <w:rPr>
          <w:sz w:val="18"/>
          <w:szCs w:val="18"/>
        </w:rPr>
      </w:pPr>
      <w:r w:rsidRPr="00B3373A">
        <w:rPr>
          <w:sz w:val="18"/>
          <w:szCs w:val="18"/>
        </w:rPr>
        <w:t xml:space="preserve">This transfer is an </w:t>
      </w:r>
      <w:r w:rsidRPr="00B3373A">
        <w:rPr>
          <w:rStyle w:val="IntenseEmphasis"/>
          <w:sz w:val="18"/>
          <w:szCs w:val="18"/>
        </w:rPr>
        <w:t>Inheritance</w:t>
      </w:r>
      <w:r w:rsidRPr="00B3373A">
        <w:rPr>
          <w:sz w:val="18"/>
          <w:szCs w:val="18"/>
        </w:rPr>
        <w:t xml:space="preserve"> due to the death of the registered owner. </w:t>
      </w:r>
    </w:p>
    <w:tbl>
      <w:tblPr>
        <w:tblStyle w:val="TableGrid"/>
        <w:tblW w:w="4947" w:type="dxa"/>
        <w:tblInd w:w="63" w:type="dxa"/>
        <w:tblCellMar>
          <w:top w:w="101" w:type="dxa"/>
          <w:left w:w="108" w:type="dxa"/>
          <w:right w:w="111" w:type="dxa"/>
        </w:tblCellMar>
        <w:tblLook w:val="04A0" w:firstRow="1" w:lastRow="0" w:firstColumn="1" w:lastColumn="0" w:noHBand="0" w:noVBand="1"/>
      </w:tblPr>
      <w:tblGrid>
        <w:gridCol w:w="2682"/>
        <w:gridCol w:w="2265"/>
      </w:tblGrid>
      <w:tr w:rsidR="000B12AC" w:rsidRPr="00B3373A" w14:paraId="6D538B8C" w14:textId="77777777" w:rsidTr="008F4D1D">
        <w:trPr>
          <w:trHeight w:val="444"/>
        </w:trPr>
        <w:tc>
          <w:tcPr>
            <w:tcW w:w="2682" w:type="dxa"/>
            <w:tcBorders>
              <w:top w:val="single" w:sz="4" w:space="0" w:color="000000"/>
              <w:left w:val="single" w:sz="4" w:space="0" w:color="000000"/>
              <w:bottom w:val="single" w:sz="4" w:space="0" w:color="000000"/>
              <w:right w:val="single" w:sz="4" w:space="0" w:color="000000"/>
            </w:tcBorders>
          </w:tcPr>
          <w:p w14:paraId="290B3CED" w14:textId="77777777" w:rsidR="000B12AC" w:rsidRPr="00B3373A" w:rsidRDefault="000B12AC" w:rsidP="008F4D1D">
            <w:pPr>
              <w:jc w:val="right"/>
              <w:rPr>
                <w:sz w:val="18"/>
                <w:szCs w:val="18"/>
              </w:rPr>
            </w:pPr>
            <w:r w:rsidRPr="00B3373A">
              <w:rPr>
                <w:rFonts w:eastAsia="Arial"/>
                <w:sz w:val="18"/>
                <w:szCs w:val="18"/>
              </w:rPr>
              <w:t>Date</w:t>
            </w:r>
            <w:r w:rsidRPr="00B3373A">
              <w:rPr>
                <w:sz w:val="18"/>
                <w:szCs w:val="18"/>
              </w:rPr>
              <w:t xml:space="preserve"> </w:t>
            </w:r>
            <w:r w:rsidRPr="00B3373A">
              <w:rPr>
                <w:rFonts w:eastAsia="Arial"/>
                <w:sz w:val="18"/>
                <w:szCs w:val="18"/>
              </w:rPr>
              <w:t xml:space="preserve">of </w:t>
            </w:r>
            <w:r w:rsidRPr="00B3373A">
              <w:rPr>
                <w:sz w:val="18"/>
                <w:szCs w:val="18"/>
              </w:rPr>
              <w:t xml:space="preserve">  </w:t>
            </w:r>
            <w:r w:rsidRPr="00B3373A">
              <w:rPr>
                <w:rFonts w:eastAsia="Arial"/>
                <w:sz w:val="18"/>
                <w:szCs w:val="18"/>
              </w:rPr>
              <w:t xml:space="preserve">Death </w:t>
            </w:r>
          </w:p>
        </w:tc>
        <w:tc>
          <w:tcPr>
            <w:tcW w:w="2265" w:type="dxa"/>
            <w:tcBorders>
              <w:top w:val="single" w:sz="4" w:space="0" w:color="000000"/>
              <w:left w:val="single" w:sz="4" w:space="0" w:color="000000"/>
              <w:bottom w:val="single" w:sz="4" w:space="0" w:color="000000"/>
              <w:right w:val="single" w:sz="4" w:space="0" w:color="000000"/>
            </w:tcBorders>
          </w:tcPr>
          <w:p w14:paraId="2F2D0632" w14:textId="77777777" w:rsidR="000B12AC" w:rsidRPr="00B3373A" w:rsidRDefault="000B12AC" w:rsidP="008F4D1D">
            <w:pPr>
              <w:rPr>
                <w:sz w:val="18"/>
                <w:szCs w:val="18"/>
              </w:rPr>
            </w:pPr>
          </w:p>
        </w:tc>
      </w:tr>
      <w:tr w:rsidR="000B12AC" w:rsidRPr="00B3373A" w14:paraId="2C61D0A0" w14:textId="77777777" w:rsidTr="008F4D1D">
        <w:trPr>
          <w:trHeight w:val="442"/>
        </w:trPr>
        <w:tc>
          <w:tcPr>
            <w:tcW w:w="2682" w:type="dxa"/>
            <w:tcBorders>
              <w:top w:val="single" w:sz="4" w:space="0" w:color="000000"/>
              <w:left w:val="single" w:sz="4" w:space="0" w:color="000000"/>
              <w:bottom w:val="single" w:sz="4" w:space="0" w:color="000000"/>
              <w:right w:val="single" w:sz="4" w:space="0" w:color="000000"/>
            </w:tcBorders>
          </w:tcPr>
          <w:p w14:paraId="391D5C77" w14:textId="77777777" w:rsidR="000B12AC" w:rsidRPr="00B3373A" w:rsidRDefault="000B12AC" w:rsidP="008F4D1D">
            <w:pPr>
              <w:jc w:val="right"/>
              <w:rPr>
                <w:sz w:val="18"/>
                <w:szCs w:val="18"/>
              </w:rPr>
            </w:pPr>
            <w:r w:rsidRPr="00B3373A">
              <w:rPr>
                <w:rFonts w:eastAsia="Arial"/>
                <w:sz w:val="18"/>
                <w:szCs w:val="18"/>
              </w:rPr>
              <w:t xml:space="preserve">Valuation of Shares </w:t>
            </w:r>
          </w:p>
        </w:tc>
        <w:tc>
          <w:tcPr>
            <w:tcW w:w="2265" w:type="dxa"/>
            <w:tcBorders>
              <w:top w:val="single" w:sz="4" w:space="0" w:color="000000"/>
              <w:left w:val="single" w:sz="4" w:space="0" w:color="000000"/>
              <w:bottom w:val="single" w:sz="4" w:space="0" w:color="000000"/>
              <w:right w:val="single" w:sz="4" w:space="0" w:color="000000"/>
            </w:tcBorders>
          </w:tcPr>
          <w:p w14:paraId="36711C92" w14:textId="77777777" w:rsidR="000B12AC" w:rsidRPr="00B3373A" w:rsidRDefault="000B12AC" w:rsidP="008F4D1D">
            <w:pPr>
              <w:rPr>
                <w:sz w:val="18"/>
                <w:szCs w:val="18"/>
              </w:rPr>
            </w:pPr>
          </w:p>
        </w:tc>
      </w:tr>
    </w:tbl>
    <w:p w14:paraId="3F8D5DD2" w14:textId="77777777" w:rsidR="000B12AC" w:rsidRPr="00B3373A" w:rsidRDefault="000B12AC" w:rsidP="000B12AC">
      <w:pPr>
        <w:ind w:left="10"/>
        <w:rPr>
          <w:sz w:val="18"/>
          <w:szCs w:val="18"/>
        </w:rPr>
      </w:pPr>
      <w:r w:rsidRPr="00B3373A">
        <w:rPr>
          <w:sz w:val="18"/>
          <w:szCs w:val="18"/>
        </w:rPr>
        <w:t xml:space="preserve">  </w:t>
      </w:r>
    </w:p>
    <w:p w14:paraId="2D551702" w14:textId="77777777" w:rsidR="000B12AC" w:rsidRPr="00B3373A" w:rsidRDefault="000B12AC" w:rsidP="000B12AC">
      <w:pPr>
        <w:ind w:left="10"/>
        <w:rPr>
          <w:sz w:val="18"/>
          <w:szCs w:val="18"/>
        </w:rPr>
      </w:pPr>
    </w:p>
    <w:p w14:paraId="346079C6" w14:textId="77777777" w:rsidR="000B12AC" w:rsidRPr="00B3373A" w:rsidRDefault="000B12AC" w:rsidP="000B12AC">
      <w:pPr>
        <w:rPr>
          <w:sz w:val="18"/>
          <w:szCs w:val="18"/>
        </w:rPr>
      </w:pPr>
      <w:r w:rsidRPr="00B3373A">
        <w:rPr>
          <w:sz w:val="18"/>
          <w:szCs w:val="18"/>
        </w:rPr>
        <w:t xml:space="preserve">This transfer is a </w:t>
      </w:r>
      <w:r w:rsidRPr="00B3373A">
        <w:rPr>
          <w:rStyle w:val="IntenseEmphasis"/>
          <w:sz w:val="18"/>
          <w:szCs w:val="18"/>
        </w:rPr>
        <w:t>Private Sale</w:t>
      </w:r>
      <w:r w:rsidRPr="00B3373A">
        <w:rPr>
          <w:sz w:val="18"/>
          <w:szCs w:val="18"/>
        </w:rPr>
        <w:t xml:space="preserve">. </w:t>
      </w:r>
    </w:p>
    <w:tbl>
      <w:tblPr>
        <w:tblStyle w:val="TableGrid"/>
        <w:tblW w:w="4947" w:type="dxa"/>
        <w:tblInd w:w="63" w:type="dxa"/>
        <w:tblCellMar>
          <w:top w:w="103" w:type="dxa"/>
          <w:left w:w="108" w:type="dxa"/>
          <w:right w:w="115" w:type="dxa"/>
        </w:tblCellMar>
        <w:tblLook w:val="04A0" w:firstRow="1" w:lastRow="0" w:firstColumn="1" w:lastColumn="0" w:noHBand="0" w:noVBand="1"/>
      </w:tblPr>
      <w:tblGrid>
        <w:gridCol w:w="2837"/>
        <w:gridCol w:w="2110"/>
      </w:tblGrid>
      <w:tr w:rsidR="000B12AC" w:rsidRPr="00B3373A" w14:paraId="00CB766C" w14:textId="77777777" w:rsidTr="008F4D1D">
        <w:trPr>
          <w:trHeight w:val="442"/>
        </w:trPr>
        <w:tc>
          <w:tcPr>
            <w:tcW w:w="2837" w:type="dxa"/>
            <w:tcBorders>
              <w:top w:val="single" w:sz="4" w:space="0" w:color="000000"/>
              <w:left w:val="single" w:sz="4" w:space="0" w:color="000000"/>
              <w:bottom w:val="single" w:sz="4" w:space="0" w:color="000000"/>
              <w:right w:val="single" w:sz="4" w:space="0" w:color="000000"/>
            </w:tcBorders>
          </w:tcPr>
          <w:p w14:paraId="742C76CB" w14:textId="77777777" w:rsidR="000B12AC" w:rsidRPr="00B3373A" w:rsidRDefault="000B12AC" w:rsidP="008F4D1D">
            <w:pPr>
              <w:jc w:val="right"/>
              <w:rPr>
                <w:sz w:val="18"/>
                <w:szCs w:val="18"/>
              </w:rPr>
            </w:pPr>
            <w:r w:rsidRPr="00B3373A">
              <w:rPr>
                <w:rFonts w:eastAsia="Arial"/>
                <w:sz w:val="18"/>
                <w:szCs w:val="18"/>
              </w:rPr>
              <w:t xml:space="preserve">Acquisition Date </w:t>
            </w:r>
          </w:p>
        </w:tc>
        <w:tc>
          <w:tcPr>
            <w:tcW w:w="2110" w:type="dxa"/>
            <w:tcBorders>
              <w:top w:val="single" w:sz="4" w:space="0" w:color="000000"/>
              <w:left w:val="single" w:sz="4" w:space="0" w:color="000000"/>
              <w:bottom w:val="single" w:sz="4" w:space="0" w:color="000000"/>
              <w:right w:val="single" w:sz="4" w:space="0" w:color="000000"/>
            </w:tcBorders>
          </w:tcPr>
          <w:p w14:paraId="68D65017" w14:textId="77777777" w:rsidR="000B12AC" w:rsidRPr="00B3373A" w:rsidRDefault="000B12AC" w:rsidP="008F4D1D">
            <w:pPr>
              <w:rPr>
                <w:sz w:val="18"/>
                <w:szCs w:val="18"/>
              </w:rPr>
            </w:pPr>
          </w:p>
        </w:tc>
      </w:tr>
      <w:tr w:rsidR="000B12AC" w:rsidRPr="00B3373A" w14:paraId="11B8CB0D" w14:textId="77777777" w:rsidTr="008F4D1D">
        <w:trPr>
          <w:trHeight w:val="444"/>
        </w:trPr>
        <w:tc>
          <w:tcPr>
            <w:tcW w:w="2837" w:type="dxa"/>
            <w:tcBorders>
              <w:top w:val="single" w:sz="4" w:space="0" w:color="000000"/>
              <w:left w:val="single" w:sz="4" w:space="0" w:color="000000"/>
              <w:bottom w:val="single" w:sz="4" w:space="0" w:color="000000"/>
              <w:right w:val="single" w:sz="4" w:space="0" w:color="000000"/>
            </w:tcBorders>
          </w:tcPr>
          <w:p w14:paraId="188ACE93" w14:textId="77777777" w:rsidR="000B12AC" w:rsidRPr="00B3373A" w:rsidRDefault="000B12AC" w:rsidP="008F4D1D">
            <w:pPr>
              <w:jc w:val="right"/>
              <w:rPr>
                <w:sz w:val="18"/>
                <w:szCs w:val="18"/>
              </w:rPr>
            </w:pPr>
            <w:r w:rsidRPr="00B3373A">
              <w:rPr>
                <w:rFonts w:eastAsia="Arial"/>
                <w:sz w:val="18"/>
                <w:szCs w:val="18"/>
              </w:rPr>
              <w:t xml:space="preserve">Purchase Price </w:t>
            </w:r>
          </w:p>
        </w:tc>
        <w:tc>
          <w:tcPr>
            <w:tcW w:w="2110" w:type="dxa"/>
            <w:tcBorders>
              <w:top w:val="single" w:sz="4" w:space="0" w:color="000000"/>
              <w:left w:val="single" w:sz="4" w:space="0" w:color="000000"/>
              <w:bottom w:val="single" w:sz="4" w:space="0" w:color="000000"/>
              <w:right w:val="single" w:sz="4" w:space="0" w:color="000000"/>
            </w:tcBorders>
          </w:tcPr>
          <w:p w14:paraId="20239FDE" w14:textId="77777777" w:rsidR="000B12AC" w:rsidRPr="00B3373A" w:rsidRDefault="000B12AC" w:rsidP="008F4D1D">
            <w:pPr>
              <w:rPr>
                <w:sz w:val="18"/>
                <w:szCs w:val="18"/>
              </w:rPr>
            </w:pPr>
          </w:p>
        </w:tc>
      </w:tr>
    </w:tbl>
    <w:p w14:paraId="795260D0" w14:textId="77777777" w:rsidR="000B12AC" w:rsidRPr="00B3373A" w:rsidRDefault="000B12AC" w:rsidP="000B12AC">
      <w:pPr>
        <w:rPr>
          <w:b/>
          <w:sz w:val="18"/>
          <w:szCs w:val="18"/>
        </w:rPr>
      </w:pPr>
    </w:p>
    <w:p w14:paraId="6858FEC3" w14:textId="77777777" w:rsidR="000B12AC" w:rsidRPr="00B3373A" w:rsidRDefault="000B12AC" w:rsidP="000B12AC">
      <w:pPr>
        <w:rPr>
          <w:sz w:val="18"/>
          <w:szCs w:val="18"/>
        </w:rPr>
      </w:pPr>
      <w:r w:rsidRPr="00B3373A">
        <w:rPr>
          <w:rFonts w:eastAsia="Arial"/>
          <w:sz w:val="18"/>
          <w:szCs w:val="18"/>
        </w:rPr>
        <w:t>Brokerage firms and other financial institutions</w:t>
      </w:r>
      <w:r w:rsidRPr="00B3373A">
        <w:rPr>
          <w:sz w:val="18"/>
          <w:szCs w:val="18"/>
        </w:rPr>
        <w:t xml:space="preserve"> that are submitting a request:</w:t>
      </w:r>
    </w:p>
    <w:p w14:paraId="3932765A" w14:textId="77777777" w:rsidR="000B12AC" w:rsidRPr="00B3373A" w:rsidRDefault="000B12AC" w:rsidP="000B12AC">
      <w:pPr>
        <w:rPr>
          <w:sz w:val="18"/>
          <w:szCs w:val="18"/>
        </w:rPr>
      </w:pPr>
      <w:r w:rsidRPr="00B3373A">
        <w:rPr>
          <w:sz w:val="18"/>
          <w:szCs w:val="18"/>
        </w:rPr>
        <w:t xml:space="preserve">To </w:t>
      </w:r>
      <w:r w:rsidRPr="00B3373A">
        <w:rPr>
          <w:rStyle w:val="IntenseEmphasis"/>
          <w:sz w:val="18"/>
          <w:szCs w:val="18"/>
        </w:rPr>
        <w:t>deposit</w:t>
      </w:r>
      <w:r w:rsidRPr="00B3373A">
        <w:rPr>
          <w:sz w:val="18"/>
          <w:szCs w:val="18"/>
        </w:rPr>
        <w:t xml:space="preserve"> securities of a US resident or US taxpayer are reminded to provide a Transfer Control Number and Holder Account Number that we can </w:t>
      </w:r>
      <w:r w:rsidRPr="00B3373A">
        <w:rPr>
          <w:rFonts w:eastAsia="Arial"/>
          <w:sz w:val="18"/>
          <w:szCs w:val="18"/>
        </w:rPr>
        <w:t>reference</w:t>
      </w:r>
      <w:r w:rsidRPr="00B3373A">
        <w:rPr>
          <w:sz w:val="18"/>
          <w:szCs w:val="18"/>
        </w:rPr>
        <w:t xml:space="preserve"> when providing</w:t>
      </w:r>
      <w:r w:rsidRPr="00B3373A">
        <w:rPr>
          <w:rFonts w:eastAsia="Arial"/>
          <w:sz w:val="18"/>
          <w:szCs w:val="18"/>
        </w:rPr>
        <w:t xml:space="preserve"> </w:t>
      </w:r>
      <w:r w:rsidRPr="00B3373A">
        <w:rPr>
          <w:sz w:val="18"/>
          <w:szCs w:val="18"/>
        </w:rPr>
        <w:t>the cost basis information for the securities being deposited within 15 days of the</w:t>
      </w:r>
      <w:r w:rsidRPr="00B3373A">
        <w:rPr>
          <w:rFonts w:eastAsia="Arial"/>
          <w:sz w:val="18"/>
          <w:szCs w:val="18"/>
        </w:rPr>
        <w:t xml:space="preserve"> </w:t>
      </w:r>
      <w:r w:rsidRPr="00B3373A">
        <w:rPr>
          <w:sz w:val="18"/>
          <w:szCs w:val="18"/>
        </w:rPr>
        <w:t>transfer; OR</w:t>
      </w:r>
    </w:p>
    <w:p w14:paraId="5FF329AB" w14:textId="77777777" w:rsidR="000B12AC" w:rsidRPr="00B3373A" w:rsidRDefault="000B12AC" w:rsidP="000B12AC">
      <w:pPr>
        <w:rPr>
          <w:sz w:val="18"/>
          <w:szCs w:val="18"/>
        </w:rPr>
      </w:pPr>
      <w:r w:rsidRPr="00B3373A">
        <w:rPr>
          <w:sz w:val="18"/>
          <w:szCs w:val="18"/>
        </w:rPr>
        <w:t xml:space="preserve">To </w:t>
      </w:r>
      <w:r w:rsidRPr="00B3373A">
        <w:rPr>
          <w:rStyle w:val="IntenseEmphasis"/>
          <w:sz w:val="18"/>
          <w:szCs w:val="18"/>
        </w:rPr>
        <w:t>withdraw</w:t>
      </w:r>
      <w:r w:rsidRPr="00B3373A">
        <w:rPr>
          <w:sz w:val="18"/>
          <w:szCs w:val="18"/>
        </w:rPr>
        <w:t xml:space="preserve"> securities are reminded to provide the cost basis information if the new securityholder is a US resident or US taxpayer so that we can maintain this information on our records and pass it on as required.</w:t>
      </w:r>
    </w:p>
    <w:p w14:paraId="3EE78C80" w14:textId="77777777" w:rsidR="00E00AEB" w:rsidRDefault="0081414C"/>
    <w:sectPr w:rsidR="00E0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NLcwNTY1NbIwNjJW0lEKTi0uzszPAykwqgUAfS9OcywAAAA="/>
  </w:docVars>
  <w:rsids>
    <w:rsidRoot w:val="000B12AC"/>
    <w:rsid w:val="000B12AC"/>
    <w:rsid w:val="007E74C1"/>
    <w:rsid w:val="0081414C"/>
    <w:rsid w:val="00A20F96"/>
    <w:rsid w:val="00AA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68"/>
  <w15:chartTrackingRefBased/>
  <w15:docId w15:val="{74F9D659-803A-43AB-9E66-0644F2C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AC"/>
    <w:pPr>
      <w:spacing w:after="120" w:line="264" w:lineRule="auto"/>
    </w:pPr>
    <w:rPr>
      <w:rFonts w:eastAsiaTheme="minorEastAsia"/>
      <w:sz w:val="21"/>
      <w:szCs w:val="21"/>
    </w:rPr>
  </w:style>
  <w:style w:type="paragraph" w:styleId="Heading2">
    <w:name w:val="heading 2"/>
    <w:basedOn w:val="Normal"/>
    <w:next w:val="Normal"/>
    <w:link w:val="Heading2Char"/>
    <w:uiPriority w:val="9"/>
    <w:unhideWhenUsed/>
    <w:qFormat/>
    <w:rsid w:val="000B12A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0B12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B12AC"/>
    <w:pPr>
      <w:keepNext/>
      <w:keepLines/>
      <w:spacing w:before="80" w:after="0"/>
      <w:outlineLvl w:val="3"/>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2A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0B12A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B12AC"/>
    <w:rPr>
      <w:rFonts w:asciiTheme="majorHAnsi" w:eastAsiaTheme="majorEastAsia" w:hAnsiTheme="majorHAnsi" w:cstheme="majorBidi"/>
      <w:sz w:val="24"/>
      <w:szCs w:val="24"/>
    </w:rPr>
  </w:style>
  <w:style w:type="table" w:customStyle="1" w:styleId="TableGrid">
    <w:name w:val="TableGrid"/>
    <w:rsid w:val="000B12AC"/>
    <w:pPr>
      <w:spacing w:after="120" w:line="264" w:lineRule="auto"/>
    </w:pPr>
    <w:rPr>
      <w:rFonts w:eastAsiaTheme="minorEastAsia"/>
      <w:sz w:val="21"/>
      <w:szCs w:val="21"/>
    </w:rPr>
    <w:tblPr>
      <w:tblCellMar>
        <w:top w:w="0" w:type="dxa"/>
        <w:left w:w="0" w:type="dxa"/>
        <w:bottom w:w="0" w:type="dxa"/>
        <w:right w:w="0" w:type="dxa"/>
      </w:tblCellMar>
    </w:tblPr>
  </w:style>
  <w:style w:type="paragraph" w:styleId="NoSpacing">
    <w:name w:val="No Spacing"/>
    <w:uiPriority w:val="1"/>
    <w:qFormat/>
    <w:rsid w:val="000B12AC"/>
    <w:pPr>
      <w:spacing w:after="0" w:line="240" w:lineRule="auto"/>
    </w:pPr>
    <w:rPr>
      <w:rFonts w:eastAsiaTheme="minorEastAsia"/>
      <w:sz w:val="21"/>
      <w:szCs w:val="21"/>
    </w:rPr>
  </w:style>
  <w:style w:type="character" w:styleId="SubtleEmphasis">
    <w:name w:val="Subtle Emphasis"/>
    <w:basedOn w:val="DefaultParagraphFont"/>
    <w:uiPriority w:val="19"/>
    <w:qFormat/>
    <w:rsid w:val="000B12AC"/>
    <w:rPr>
      <w:i/>
      <w:iCs/>
      <w:color w:val="595959" w:themeColor="text1" w:themeTint="A6"/>
    </w:rPr>
  </w:style>
  <w:style w:type="character" w:styleId="IntenseEmphasis">
    <w:name w:val="Intense Emphasis"/>
    <w:basedOn w:val="DefaultParagraphFont"/>
    <w:uiPriority w:val="21"/>
    <w:qFormat/>
    <w:rsid w:val="000B12AC"/>
    <w:rPr>
      <w:b/>
      <w:bCs/>
      <w:i/>
      <w:iCs/>
    </w:rPr>
  </w:style>
  <w:style w:type="table" w:styleId="TableGrid0">
    <w:name w:val="Table Grid"/>
    <w:basedOn w:val="TableNormal"/>
    <w:uiPriority w:val="39"/>
    <w:rsid w:val="000B12A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1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ABDE4C770040A27A50B36B5BE971" ma:contentTypeVersion="9" ma:contentTypeDescription="Create a new document." ma:contentTypeScope="" ma:versionID="1b546c4b0669acc6f5ffaedfc2cfec39">
  <xsd:schema xmlns:xsd="http://www.w3.org/2001/XMLSchema" xmlns:xs="http://www.w3.org/2001/XMLSchema" xmlns:p="http://schemas.microsoft.com/office/2006/metadata/properties" xmlns:ns2="3189d9f3-7abd-4d55-bde4-3f034c2db16b" xmlns:ns3="1836f970-54e6-4fcb-ab32-51e32645faa8" targetNamespace="http://schemas.microsoft.com/office/2006/metadata/properties" ma:root="true" ma:fieldsID="f22342bcfef4aa7513e978c688b7ec4d" ns2:_="" ns3:_="">
    <xsd:import namespace="3189d9f3-7abd-4d55-bde4-3f034c2db16b"/>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d9f3-7abd-4d55-bde4-3f034c2d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16adb3-5b29-4cd7-864a-6d9acb127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485f57-68cc-4173-9275-bc28171004f4}"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F52A7-0E07-4D6A-B107-8D2D87527EE6}"/>
</file>

<file path=customXml/itemProps2.xml><?xml version="1.0" encoding="utf-8"?>
<ds:datastoreItem xmlns:ds="http://schemas.openxmlformats.org/officeDocument/2006/customXml" ds:itemID="{1D4B4A85-AD68-4003-92BA-43FD298AC717}"/>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Cripps</dc:creator>
  <cp:keywords/>
  <dc:description/>
  <cp:lastModifiedBy>Timothy Novak</cp:lastModifiedBy>
  <cp:revision>2</cp:revision>
  <dcterms:created xsi:type="dcterms:W3CDTF">2020-10-22T18:46:00Z</dcterms:created>
  <dcterms:modified xsi:type="dcterms:W3CDTF">2020-10-22T18:46:00Z</dcterms:modified>
</cp:coreProperties>
</file>